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200" w:after="80"/>
        <w:jc w:val="center"/>
      </w:pPr>
      <w:r>
        <w:rPr>
          <w:rFonts w:ascii="DM Serif Display" w:hAnsi="DM Serif Display"/>
          <w:b/>
          <w:color w:val="243347"/>
          <w:sz w:val="72"/>
        </w:rPr>
        <w:t>Varrow Engineering Group</w:t>
      </w:r>
    </w:p>
    <w:p>
      <w:pPr>
        <w:spacing w:after="80"/>
        <w:jc w:val="center"/>
      </w:pPr>
      <w:r>
        <w:rPr>
          <w:rFonts w:ascii="IBM Plex Sans" w:hAnsi="IBM Plex Sans"/>
          <w:color w:val="64645A"/>
          <w:sz w:val="28"/>
        </w:rPr>
        <w:t>Engineered for what endures.</w:t>
      </w:r>
    </w:p>
    <w:p/>
    <w:p>
      <w:r>
        <w:br w:type="page"/>
      </w:r>
    </w:p>
    <w:p>
      <w:pPr>
        <w:spacing w:before="360" w:after="120"/>
      </w:pPr>
      <w:r>
        <w:rPr>
          <w:rFonts w:ascii="DM Serif Display" w:hAnsi="DM Serif Display"/>
          <w:b/>
          <w:color w:val="96968C"/>
          <w:sz w:val="18"/>
        </w:rPr>
        <w:t>COLOR PALETTE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560"/>
        <w:gridCol w:w="1560"/>
        <w:gridCol w:w="1560"/>
        <w:gridCol w:w="1560"/>
        <w:gridCol w:w="1560"/>
        <w:gridCol w:w="1560"/>
      </w:tblGrid>
      <w:tr>
        <w:tc>
          <w:tcPr>
            <w:tcW w:type="dxa" w:w="1560"/>
            <w:shd w:val="clear" w:color="auto" w:fill="243347"/>
          </w:tcPr>
          <w:p>
            <w:r>
              <w:rPr>
                <w:sz w:val="40"/>
              </w:rPr>
              <w:t xml:space="preserve">  </w:t>
              <w:br/>
              <w:t xml:space="preserve">  </w:t>
            </w:r>
          </w:p>
        </w:tc>
        <w:tc>
          <w:tcPr>
            <w:tcW w:type="dxa" w:w="1560"/>
            <w:shd w:val="clear" w:color="auto" w:fill="C8772A"/>
          </w:tcPr>
          <w:p>
            <w:r>
              <w:rPr>
                <w:sz w:val="40"/>
              </w:rPr>
              <w:t xml:space="preserve">  </w:t>
              <w:br/>
              <w:t xml:space="preserve">  </w:t>
            </w:r>
          </w:p>
        </w:tc>
        <w:tc>
          <w:tcPr>
            <w:tcW w:type="dxa" w:w="1560"/>
            <w:shd w:val="clear" w:color="auto" w:fill="5C7085"/>
          </w:tcPr>
          <w:p>
            <w:r>
              <w:rPr>
                <w:sz w:val="40"/>
              </w:rPr>
              <w:t xml:space="preserve">  </w:t>
              <w:br/>
              <w:t xml:space="preserve">  </w:t>
            </w:r>
          </w:p>
        </w:tc>
        <w:tc>
          <w:tcPr>
            <w:tcW w:type="dxa" w:w="1560"/>
            <w:shd w:val="clear" w:color="auto" w:fill="EDE9E1"/>
          </w:tcPr>
          <w:p>
            <w:r>
              <w:rPr>
                <w:sz w:val="40"/>
              </w:rPr>
              <w:t xml:space="preserve">  </w:t>
              <w:br/>
              <w:t xml:space="preserve">  </w:t>
            </w:r>
          </w:p>
        </w:tc>
        <w:tc>
          <w:tcPr>
            <w:tcW w:type="dxa" w:w="1560"/>
            <w:shd w:val="clear" w:color="auto" w:fill="3D4147"/>
          </w:tcPr>
          <w:p>
            <w:r>
              <w:rPr>
                <w:sz w:val="40"/>
              </w:rPr>
              <w:t xml:space="preserve">  </w:t>
              <w:br/>
              <w:t xml:space="preserve">  </w:t>
            </w:r>
          </w:p>
        </w:tc>
        <w:tc>
          <w:tcPr>
            <w:tcW w:type="dxa" w:w="1560"/>
            <w:shd w:val="clear" w:color="auto" w:fill="F6F4F0"/>
          </w:tcPr>
          <w:p>
            <w:r>
              <w:rPr>
                <w:sz w:val="40"/>
              </w:rPr>
              <w:t xml:space="preserve">  </w:t>
              <w:br/>
              <w:t xml:space="preserve">  </w:t>
            </w:r>
          </w:p>
        </w:tc>
      </w:tr>
      <w:tr>
        <w:tc>
          <w:tcPr>
            <w:tcW w:type="dxa" w:w="1560"/>
          </w:tcPr>
          <w:p>
            <w:r>
              <w:rPr>
                <w:rFonts w:ascii="Courier New" w:hAnsi="Courier New"/>
                <w:sz w:val="14"/>
              </w:rPr>
              <w:t>Iron</w:t>
              <w:br/>
              <w:t>#243347</w:t>
              <w:br/>
              <w:t>RGB(36,51,71)</w:t>
            </w:r>
          </w:p>
        </w:tc>
        <w:tc>
          <w:tcPr>
            <w:tcW w:type="dxa" w:w="1560"/>
          </w:tcPr>
          <w:p>
            <w:r>
              <w:rPr>
                <w:rFonts w:ascii="Courier New" w:hAnsi="Courier New"/>
                <w:sz w:val="14"/>
              </w:rPr>
              <w:t>Amber</w:t>
              <w:br/>
              <w:t>#C8772A</w:t>
              <w:br/>
              <w:t>RGB(200,119,42)</w:t>
            </w:r>
          </w:p>
        </w:tc>
        <w:tc>
          <w:tcPr>
            <w:tcW w:type="dxa" w:w="1560"/>
          </w:tcPr>
          <w:p>
            <w:r>
              <w:rPr>
                <w:rFonts w:ascii="Courier New" w:hAnsi="Courier New"/>
                <w:sz w:val="14"/>
              </w:rPr>
              <w:t>Slate</w:t>
              <w:br/>
              <w:t>#5C7085</w:t>
              <w:br/>
              <w:t>RGB(92,112,133)</w:t>
            </w:r>
          </w:p>
        </w:tc>
        <w:tc>
          <w:tcPr>
            <w:tcW w:type="dxa" w:w="1560"/>
          </w:tcPr>
          <w:p>
            <w:r>
              <w:rPr>
                <w:rFonts w:ascii="Courier New" w:hAnsi="Courier New"/>
                <w:sz w:val="14"/>
              </w:rPr>
              <w:t>Stone</w:t>
              <w:br/>
              <w:t>#EDE9E1</w:t>
              <w:br/>
              <w:t>RGB(237,233,225)</w:t>
            </w:r>
          </w:p>
        </w:tc>
        <w:tc>
          <w:tcPr>
            <w:tcW w:type="dxa" w:w="1560"/>
          </w:tcPr>
          <w:p>
            <w:r>
              <w:rPr>
                <w:rFonts w:ascii="Courier New" w:hAnsi="Courier New"/>
                <w:sz w:val="14"/>
              </w:rPr>
              <w:t>Ash</w:t>
              <w:br/>
              <w:t>#3D4147</w:t>
              <w:br/>
              <w:t>RGB(61,65,71)</w:t>
            </w:r>
          </w:p>
        </w:tc>
        <w:tc>
          <w:tcPr>
            <w:tcW w:type="dxa" w:w="1560"/>
          </w:tcPr>
          <w:p>
            <w:r>
              <w:rPr>
                <w:rFonts w:ascii="Courier New" w:hAnsi="Courier New"/>
                <w:sz w:val="14"/>
              </w:rPr>
              <w:t>Chalk</w:t>
              <w:br/>
              <w:t>#F6F4F0</w:t>
              <w:br/>
              <w:t>RGB(246,244,240)</w:t>
            </w:r>
          </w:p>
        </w:tc>
      </w:tr>
    </w:tbl>
    <w:p/>
    <w:p>
      <w:pPr>
        <w:spacing w:before="360" w:after="120"/>
      </w:pPr>
      <w:r>
        <w:rPr>
          <w:rFonts w:ascii="DM Serif Display" w:hAnsi="DM Serif Display"/>
          <w:b/>
          <w:color w:val="96968C"/>
          <w:sz w:val="18"/>
        </w:rPr>
        <w:t>TYPOGRAPHY</w:t>
      </w:r>
    </w:p>
    <w:p>
      <w:r>
        <w:rPr>
          <w:b/>
        </w:rPr>
        <w:t xml:space="preserve">Heading Font  </w:t>
      </w:r>
      <w:r>
        <w:rPr>
          <w:rFonts w:ascii="Courier New" w:hAnsi="Courier New"/>
          <w:sz w:val="20"/>
        </w:rPr>
        <w:t>DM Serif Display</w:t>
      </w:r>
    </w:p>
    <w:p>
      <w:pPr>
        <w:spacing w:after="200"/>
      </w:pPr>
      <w:r>
        <w:rPr>
          <w:rFonts w:ascii="DM Serif Display" w:hAnsi="DM Serif Display"/>
          <w:b/>
          <w:color w:val="243347"/>
          <w:sz w:val="44"/>
        </w:rPr>
        <w:t>Sample Heading in DM Serif Display</w:t>
      </w:r>
    </w:p>
    <w:p>
      <w:r>
        <w:rPr>
          <w:b/>
        </w:rPr>
        <w:t xml:space="preserve">Body Font  </w:t>
      </w:r>
      <w:r>
        <w:rPr>
          <w:rFonts w:ascii="Courier New" w:hAnsi="Courier New"/>
          <w:sz w:val="20"/>
        </w:rPr>
        <w:t>IBM Plex Sans</w:t>
      </w:r>
    </w:p>
    <w:p>
      <w:r>
        <w:rPr>
          <w:rFonts w:ascii="IBM Plex Sans" w:hAnsi="IBM Plex Sans"/>
          <w:sz w:val="22"/>
        </w:rPr>
        <w:t>Sample body copy in IBM Plex Sans. Clear, readable, professional. Used for all running text, descriptions, and longer-form content.</w:t>
      </w:r>
    </w:p>
    <w:p/>
    <w:p>
      <w:pPr>
        <w:spacing w:before="360" w:after="120"/>
      </w:pPr>
      <w:r>
        <w:rPr>
          <w:rFonts w:ascii="DM Serif Display" w:hAnsi="DM Serif Display"/>
          <w:b/>
          <w:color w:val="96968C"/>
          <w:sz w:val="18"/>
        </w:rPr>
        <w:t>VOICE &amp; TONE</w:t>
      </w:r>
    </w:p>
    <w:p>
      <w:pPr>
        <w:spacing w:after="120"/>
      </w:pPr>
      <w:r>
        <w:rPr>
          <w:rFonts w:ascii="DM Serif Display" w:hAnsi="DM Serif Display"/>
          <w:b/>
          <w:color w:val="C8772A"/>
          <w:sz w:val="36"/>
        </w:rPr>
        <w:t>Measured and precise — we write from the client's challenge outward, not from our credentials inward. Confident recommendations delivered without hedging or superlatives.</w:t>
      </w:r>
    </w:p>
    <w:p>
      <w:pPr>
        <w:spacing w:after="200"/>
      </w:pPr>
      <w:r>
        <w:rPr>
          <w:rFonts w:ascii="IBM Plex Sans" w:hAnsi="IBM Plex Sans"/>
          <w:color w:val="64645A"/>
          <w:sz w:val="20"/>
        </w:rPr>
        <w:t>Attributes: Measured · Partnership-first · Precise without gatekeeping · Directly confident</w:t>
      </w:r>
    </w:p>
    <w:p>
      <w:pPr>
        <w:spacing w:after="40"/>
      </w:pPr>
      <w:r>
        <w:rPr>
          <w:rFonts w:ascii="IBM Plex Sans" w:hAnsi="IBM Plex Sans"/>
          <w:b/>
          <w:color w:val="2D7D46"/>
          <w:sz w:val="18"/>
        </w:rPr>
        <w:t>✓  Write Like This</w:t>
      </w:r>
    </w:p>
    <w:p>
      <w:pPr>
        <w:spacing w:after="40"/>
        <w:ind w:left="288"/>
      </w:pPr>
      <w:r>
        <w:rPr>
          <w:rFonts w:ascii="IBM Plex Sans" w:hAnsi="IBM Plex Sans"/>
          <w:color w:val="2D7D46"/>
          <w:sz w:val="20"/>
        </w:rPr>
        <w:t xml:space="preserve">  Lead with outcomes and specifics: 'The redesigned connection eliminated the 6-week recertification cycle and shaved $220K from the schedule.'</w:t>
      </w:r>
    </w:p>
    <w:p>
      <w:pPr>
        <w:spacing w:after="40"/>
        <w:ind w:left="288"/>
      </w:pPr>
      <w:r>
        <w:rPr>
          <w:rFonts w:ascii="IBM Plex Sans" w:hAnsi="IBM Plex Sans"/>
          <w:color w:val="2D7D46"/>
          <w:sz w:val="20"/>
        </w:rPr>
        <w:t xml:space="preserve">  Name the challenge first — reference the specific site condition or constraint that makes the project complex.</w:t>
      </w:r>
    </w:p>
    <w:p>
      <w:pPr>
        <w:spacing w:after="40"/>
        <w:ind w:left="288"/>
      </w:pPr>
      <w:r>
        <w:rPr>
          <w:rFonts w:ascii="IBM Plex Sans" w:hAnsi="IBM Plex Sans"/>
          <w:color w:val="2D7D46"/>
          <w:sz w:val="20"/>
        </w:rPr>
        <w:t xml:space="preserve">  Use first-person plural for shared work: 'We worked with the contractor to stage the demolition in a way that protected occupied floors above.'</w:t>
      </w:r>
    </w:p>
    <w:p>
      <w:pPr>
        <w:spacing w:after="40"/>
        <w:ind w:left="288"/>
      </w:pPr>
      <w:r>
        <w:rPr>
          <w:rFonts w:ascii="IBM Plex Sans" w:hAnsi="IBM Plex Sans"/>
          <w:color w:val="2D7D46"/>
          <w:sz w:val="20"/>
        </w:rPr>
        <w:t xml:space="preserve">  Open proposals with the client's problem, not Varrow's credentials.</w:t>
      </w:r>
    </w:p>
    <w:p>
      <w:pPr>
        <w:spacing w:after="40"/>
        <w:ind w:left="288"/>
      </w:pPr>
      <w:r>
        <w:rPr>
          <w:rFonts w:ascii="IBM Plex Sans" w:hAnsi="IBM Plex Sans"/>
          <w:color w:val="2D7D46"/>
          <w:sz w:val="20"/>
        </w:rPr>
        <w:t xml:space="preserve">  Use active voice: 'Varrow will deliver preliminary drawings by March 14' — not 'preliminary drawings will be provided.'</w:t>
      </w:r>
    </w:p>
    <w:p>
      <w:pPr>
        <w:spacing w:before="200" w:after="40"/>
      </w:pPr>
      <w:r>
        <w:rPr>
          <w:rFonts w:ascii="IBM Plex Sans" w:hAnsi="IBM Plex Sans"/>
          <w:b/>
          <w:color w:val="B94040"/>
          <w:sz w:val="18"/>
        </w:rPr>
        <w:t>✗  Avoid</w:t>
      </w:r>
    </w:p>
    <w:p>
      <w:pPr>
        <w:spacing w:after="40"/>
        <w:ind w:left="288"/>
      </w:pPr>
      <w:r>
        <w:rPr>
          <w:rFonts w:ascii="IBM Plex Sans" w:hAnsi="IBM Plex Sans"/>
          <w:color w:val="B94040"/>
          <w:sz w:val="20"/>
        </w:rPr>
        <w:t xml:space="preserve">  Use unsubstantiated superlatives: never 'world-class', 'industry-leading', or 'best-in-class'. If you cannot cite a number or a specific outcome, cut the claim.</w:t>
      </w:r>
    </w:p>
    <w:p>
      <w:pPr>
        <w:spacing w:after="40"/>
        <w:ind w:left="288"/>
      </w:pPr>
      <w:r>
        <w:rPr>
          <w:rFonts w:ascii="IBM Plex Sans" w:hAnsi="IBM Plex Sans"/>
          <w:color w:val="B94040"/>
          <w:sz w:val="20"/>
        </w:rPr>
        <w:t xml:space="preserve">  Open a proposal with 'Varrow Engineering Group is pleased to submit...' — get to the client's problem first.</w:t>
      </w:r>
    </w:p>
    <w:p>
      <w:pPr>
        <w:spacing w:after="40"/>
        <w:ind w:left="288"/>
      </w:pPr>
      <w:r>
        <w:rPr>
          <w:rFonts w:ascii="IBM Plex Sans" w:hAnsi="IBM Plex Sans"/>
          <w:color w:val="B94040"/>
          <w:sz w:val="20"/>
        </w:rPr>
        <w:t xml:space="preserve">  Write in passive voice in proposals or case studies.</w:t>
      </w:r>
    </w:p>
    <w:p>
      <w:pPr>
        <w:spacing w:after="40"/>
        <w:ind w:left="288"/>
      </w:pPr>
      <w:r>
        <w:rPr>
          <w:rFonts w:ascii="IBM Plex Sans" w:hAnsi="IBM Plex Sans"/>
          <w:color w:val="B94040"/>
          <w:sz w:val="20"/>
        </w:rPr>
        <w:t xml:space="preserve">  Use consulting filler: ban 'holistic', 'synergies', 'seamless', and 'leverage' used as a verb.</w:t>
      </w:r>
    </w:p>
    <w:p>
      <w:pPr>
        <w:spacing w:after="40"/>
        <w:ind w:left="288"/>
      </w:pPr>
      <w:r>
        <w:rPr>
          <w:rFonts w:ascii="IBM Plex Sans" w:hAnsi="IBM Plex Sans"/>
          <w:color w:val="B94040"/>
          <w:sz w:val="20"/>
        </w:rPr>
        <w:t xml:space="preserve">  Use 'we look forward to partnering' as a standalone closer — earn that language with substance, then close.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